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TEMPORARY DEWATERING</w:t>
      </w:r>
    </w:p>
    <w:p>
      <w:pPr>
        <w:spacing w:after="480"/>
      </w:pPr>
      <w:r>
        <w:rPr>
          <w:rFonts w:ascii="Aptos" w:hAnsi="Aptos"/>
          <w:b w:val="0"/>
          <w:color w:val="5E6B78"/>
          <w:sz w:val="26"/>
        </w:rPr>
        <w:t>Penyahairan Sementara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temporary dewatering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temporary dewatering.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Wellpoint or sump materials</w:t>
      </w:r>
    </w:p>
    <w:p>
      <w:pPr>
        <w:pStyle w:val="ListBullet"/>
        <w:spacing w:after="50"/>
        <w:ind w:left="369" w:hanging="170"/>
      </w:pPr>
      <w:r>
        <w:rPr>
          <w:rFonts w:ascii="Aptos" w:hAnsi="Aptos"/>
          <w:b w:val="0"/>
          <w:color w:val="263442"/>
          <w:sz w:val="19"/>
        </w:rPr>
        <w:t>Discharge pipes</w:t>
      </w:r>
    </w:p>
    <w:p>
      <w:pPr>
        <w:pStyle w:val="ListBullet"/>
        <w:spacing w:after="50"/>
        <w:ind w:left="369" w:hanging="170"/>
      </w:pPr>
      <w:r>
        <w:rPr>
          <w:rFonts w:ascii="Aptos" w:hAnsi="Aptos"/>
          <w:b w:val="0"/>
          <w:color w:val="263442"/>
          <w:sz w:val="19"/>
        </w:rPr>
        <w:t>Filters</w:t>
      </w:r>
    </w:p>
    <w:p>
      <w:pPr>
        <w:pStyle w:val="ListBullet"/>
        <w:spacing w:after="50"/>
        <w:ind w:left="369" w:hanging="170"/>
      </w:pPr>
      <w:r>
        <w:rPr>
          <w:rFonts w:ascii="Aptos" w:hAnsi="Aptos"/>
          <w:b w:val="0"/>
          <w:color w:val="263442"/>
          <w:sz w:val="19"/>
        </w:rPr>
        <w:t>Settlement tank</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Pumps</w:t>
      </w:r>
    </w:p>
    <w:p>
      <w:pPr>
        <w:pStyle w:val="ListBullet"/>
        <w:spacing w:after="50"/>
        <w:ind w:left="369" w:hanging="170"/>
      </w:pPr>
      <w:r>
        <w:rPr>
          <w:rFonts w:ascii="Aptos" w:hAnsi="Aptos"/>
          <w:b w:val="0"/>
          <w:color w:val="263442"/>
          <w:sz w:val="19"/>
        </w:rPr>
        <w:t>Generators</w:t>
      </w:r>
    </w:p>
    <w:p>
      <w:pPr>
        <w:pStyle w:val="ListBullet"/>
        <w:spacing w:after="50"/>
        <w:ind w:left="369" w:hanging="170"/>
      </w:pPr>
      <w:r>
        <w:rPr>
          <w:rFonts w:ascii="Aptos" w:hAnsi="Aptos"/>
          <w:b w:val="0"/>
          <w:color w:val="263442"/>
          <w:sz w:val="19"/>
        </w:rPr>
        <w:t>Water-level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temporary dewatering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Wellpoint or sump materials, Discharge pipes, Filters, Settlement tank.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the approved dewatering design. </w:t>
      </w:r>
      <w:r>
        <w:rPr>
          <w:rFonts w:ascii="Aptos" w:hAnsi="Aptos"/>
          <w:b w:val="0"/>
          <w:color w:val="263442"/>
          <w:sz w:val="19"/>
        </w:rPr>
        <w:t>Confirm the approved dewatering design and discharge location.</w:t>
      </w:r>
    </w:p>
    <w:p>
      <w:pPr>
        <w:keepLines/>
        <w:spacing w:after="100" w:line="269" w:lineRule="auto"/>
        <w:ind w:left="369" w:hanging="369"/>
      </w:pPr>
      <w:r>
        <w:rPr>
          <w:rFonts w:ascii="Aptos" w:hAnsi="Aptos"/>
          <w:b/>
          <w:color w:val="071E33"/>
          <w:sz w:val="19"/>
        </w:rPr>
        <w:t xml:space="preserve">2. Survey neighbouring structures. </w:t>
      </w:r>
      <w:r>
        <w:rPr>
          <w:rFonts w:ascii="Aptos" w:hAnsi="Aptos"/>
          <w:b w:val="0"/>
          <w:color w:val="263442"/>
          <w:sz w:val="19"/>
        </w:rPr>
        <w:t>Survey neighbouring structures and baseline water conditions where required.</w:t>
      </w:r>
    </w:p>
    <w:p>
      <w:pPr>
        <w:keepLines/>
        <w:spacing w:after="100" w:line="269" w:lineRule="auto"/>
        <w:ind w:left="369" w:hanging="369"/>
      </w:pPr>
      <w:r>
        <w:rPr>
          <w:rFonts w:ascii="Aptos" w:hAnsi="Aptos"/>
          <w:b/>
          <w:color w:val="071E33"/>
          <w:sz w:val="19"/>
        </w:rPr>
        <w:t xml:space="preserve">3. Install wells, sumps, pumps, standby capacity. </w:t>
      </w:r>
      <w:r>
        <w:rPr>
          <w:rFonts w:ascii="Aptos" w:hAnsi="Aptos"/>
          <w:b w:val="0"/>
          <w:color w:val="263442"/>
          <w:sz w:val="19"/>
        </w:rPr>
        <w:t>Install wells, sumps, pumps, standby capacity and protected discharge lines.</w:t>
      </w:r>
    </w:p>
    <w:p>
      <w:pPr>
        <w:keepLines/>
        <w:spacing w:after="100" w:line="269" w:lineRule="auto"/>
        <w:ind w:left="369" w:hanging="369"/>
      </w:pPr>
      <w:r>
        <w:rPr>
          <w:rFonts w:ascii="Aptos" w:hAnsi="Aptos"/>
          <w:b/>
          <w:color w:val="071E33"/>
          <w:sz w:val="19"/>
        </w:rPr>
        <w:t xml:space="preserve">4. Start pumping gradually. </w:t>
      </w:r>
      <w:r>
        <w:rPr>
          <w:rFonts w:ascii="Aptos" w:hAnsi="Aptos"/>
          <w:b w:val="0"/>
          <w:color w:val="263442"/>
          <w:sz w:val="19"/>
        </w:rPr>
        <w:t>Start pumping gradually and monitor water level and ground response.</w:t>
      </w:r>
    </w:p>
    <w:p>
      <w:pPr>
        <w:keepLines/>
        <w:spacing w:after="100" w:line="269" w:lineRule="auto"/>
        <w:ind w:left="369" w:hanging="369"/>
      </w:pPr>
      <w:r>
        <w:rPr>
          <w:rFonts w:ascii="Aptos" w:hAnsi="Aptos"/>
          <w:b/>
          <w:color w:val="071E33"/>
          <w:sz w:val="19"/>
        </w:rPr>
        <w:t xml:space="preserve">5. Treat discharge and prevent erosion or nuisance. </w:t>
      </w:r>
    </w:p>
    <w:p>
      <w:pPr>
        <w:keepLines/>
        <w:spacing w:after="100" w:line="269" w:lineRule="auto"/>
        <w:ind w:left="369" w:hanging="369"/>
      </w:pPr>
      <w:r>
        <w:rPr>
          <w:rFonts w:ascii="Aptos" w:hAnsi="Aptos"/>
          <w:b/>
          <w:color w:val="071E33"/>
          <w:sz w:val="19"/>
        </w:rPr>
        <w:t xml:space="preserve">6. Maintain records and stop or remove the system in a controlled sequence.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approval; pump and backup; water-level monitoring; discharge quality; settlement observation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ground settlement; electrical shock; flooding; uncontrolled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Pump and backup</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Water-level monitoring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Discharge quality</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Settlement observation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Ground settlement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Electrical shock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Uncontrolled discharge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Temporary Dewatering</dc:title>
  <dc:subject>Editable construction method statement template</dc:subject>
  <dc:creator>Method Statement Hub Malaysia</dc:creator>
  <cp:keywords>dewatering, pump, groundwater</cp:keywords>
  <dc:description>generated by python-docx</dc:description>
  <cp:lastModifiedBy/>
  <cp:revision>1</cp:revision>
  <dcterms:created xsi:type="dcterms:W3CDTF">2013-12-23T23:15:00Z</dcterms:created>
  <dcterms:modified xsi:type="dcterms:W3CDTF">2013-12-23T23:15:00Z</dcterms:modified>
  <cp:category/>
</cp:coreProperties>
</file>